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F308C4" w14:textId="6A48B4BB" w:rsidR="00730A67" w:rsidRPr="00730A67" w:rsidRDefault="00BD43D4" w:rsidP="00BD43D4">
      <w:pPr>
        <w:tabs>
          <w:tab w:val="left" w:pos="0"/>
        </w:tabs>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sidR="00730A67" w:rsidRPr="00730A67">
        <w:rPr>
          <w:bCs/>
          <w:color w:val="000000" w:themeColor="text1"/>
        </w:rPr>
        <w:t>PRITARTA</w:t>
      </w:r>
    </w:p>
    <w:p w14:paraId="03A3F956" w14:textId="1BA6D511" w:rsidR="00730A67" w:rsidRPr="00730A67" w:rsidRDefault="00BD43D4" w:rsidP="00730A67">
      <w:pPr>
        <w:tabs>
          <w:tab w:val="left" w:pos="0"/>
        </w:tabs>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sidR="00730A67" w:rsidRPr="00730A67">
        <w:rPr>
          <w:bCs/>
          <w:color w:val="000000" w:themeColor="text1"/>
        </w:rPr>
        <w:t>Visagino savivaldybės tarybos</w:t>
      </w:r>
    </w:p>
    <w:p w14:paraId="44A0F936" w14:textId="6EF0818C" w:rsidR="00730A67" w:rsidRPr="00730A67" w:rsidRDefault="00BD43D4" w:rsidP="00BD43D4">
      <w:pPr>
        <w:tabs>
          <w:tab w:val="left" w:pos="0"/>
        </w:tabs>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sidR="00730A67" w:rsidRPr="00730A67">
        <w:rPr>
          <w:bCs/>
          <w:color w:val="000000" w:themeColor="text1"/>
        </w:rPr>
        <w:t>2023 m. kovo __d. sprendimu Nr. TS-__</w:t>
      </w:r>
    </w:p>
    <w:p w14:paraId="6E856375" w14:textId="77777777" w:rsidR="00730A67" w:rsidRDefault="00730A67" w:rsidP="00730A67">
      <w:pPr>
        <w:tabs>
          <w:tab w:val="left" w:pos="0"/>
        </w:tabs>
        <w:rPr>
          <w:b/>
        </w:rPr>
      </w:pPr>
    </w:p>
    <w:p w14:paraId="5CC9EF65" w14:textId="77777777" w:rsidR="00730A67" w:rsidRDefault="00730A67" w:rsidP="000B5517">
      <w:pPr>
        <w:jc w:val="center"/>
        <w:rPr>
          <w:b/>
        </w:rPr>
      </w:pPr>
    </w:p>
    <w:p w14:paraId="0E9626D6" w14:textId="079AE82E" w:rsidR="006D6D4F" w:rsidRDefault="008C4A26" w:rsidP="000B5517">
      <w:pPr>
        <w:jc w:val="center"/>
        <w:rPr>
          <w:b/>
        </w:rPr>
      </w:pPr>
      <w:r>
        <w:rPr>
          <w:b/>
        </w:rPr>
        <w:t xml:space="preserve">VISAGINO REKREACIJOS PASLAUGŲ CENTRO </w:t>
      </w:r>
    </w:p>
    <w:p w14:paraId="315CA6DA" w14:textId="77777777" w:rsidR="008C4A26" w:rsidRDefault="00DA773E" w:rsidP="000B5517">
      <w:pPr>
        <w:jc w:val="center"/>
      </w:pPr>
      <w:r>
        <w:rPr>
          <w:b/>
        </w:rPr>
        <w:t>202</w:t>
      </w:r>
      <w:r w:rsidR="00CA6051">
        <w:rPr>
          <w:b/>
        </w:rPr>
        <w:t>2</w:t>
      </w:r>
      <w:r w:rsidR="008C4A26">
        <w:rPr>
          <w:b/>
        </w:rPr>
        <w:t xml:space="preserve"> M. VEIKLOS ATASKAITA</w:t>
      </w:r>
    </w:p>
    <w:p w14:paraId="4A79BB22" w14:textId="77777777" w:rsidR="008C4A26" w:rsidRDefault="008C4A26" w:rsidP="000B5517">
      <w:pPr>
        <w:jc w:val="center"/>
      </w:pPr>
    </w:p>
    <w:p w14:paraId="3B0CDB32" w14:textId="77777777" w:rsidR="008C4A26" w:rsidRDefault="008C4A26" w:rsidP="000B5517">
      <w:pPr>
        <w:ind w:firstLine="851"/>
        <w:jc w:val="both"/>
      </w:pPr>
      <w:r>
        <w:t>Visagino rekreacijos paslaugų centras – savivaldybės biudžetinė įstaiga</w:t>
      </w:r>
      <w:r w:rsidR="00BC7060">
        <w:t xml:space="preserve"> (toliau tekste – Įstaiga), </w:t>
      </w:r>
      <w:r>
        <w:t>įsteigta 1994 metais. Įstaiga vykdo savo veiklą vadovaudamasi</w:t>
      </w:r>
      <w:r>
        <w:rPr>
          <w:rFonts w:eastAsia="Times New Roman"/>
          <w:szCs w:val="20"/>
          <w:lang w:eastAsia="ar-SA"/>
        </w:rPr>
        <w:t xml:space="preserve"> </w:t>
      </w:r>
      <w:r>
        <w:t>pagrindiniais norminiais teisės aktais: Lietuvos Respublikos Konstitucija, Lietuvos Respublikos darbo kodeksu, Lietuvos</w:t>
      </w:r>
      <w:r w:rsidR="000B5517">
        <w:t> </w:t>
      </w:r>
      <w:r>
        <w:t xml:space="preserve">Respublikos </w:t>
      </w:r>
      <w:r w:rsidR="00BC7060">
        <w:t>b</w:t>
      </w:r>
      <w:r>
        <w:t>iudžetinių įstaigų įstatym</w:t>
      </w:r>
      <w:r w:rsidR="00BC7060">
        <w:t>u</w:t>
      </w:r>
      <w:r>
        <w:t xml:space="preserve">, Visagino savivaldybės tarybos </w:t>
      </w:r>
      <w:r w:rsidR="00BC7060">
        <w:t>sprendimais bei kitais Lietuvos Respublikoje galiojančiais teisės aktais</w:t>
      </w:r>
      <w:r>
        <w:t>.</w:t>
      </w:r>
    </w:p>
    <w:p w14:paraId="7741F0D1" w14:textId="77777777" w:rsidR="009A2D94" w:rsidRDefault="009A2D94" w:rsidP="000B5517">
      <w:pPr>
        <w:ind w:firstLine="851"/>
        <w:jc w:val="both"/>
      </w:pPr>
      <w:r>
        <w:t>Įstaigos</w:t>
      </w:r>
      <w:r w:rsidR="008C4A26">
        <w:t xml:space="preserve"> veikla organizuojama </w:t>
      </w:r>
      <w:r w:rsidR="00B64051">
        <w:t>3</w:t>
      </w:r>
      <w:r w:rsidR="008C4A26">
        <w:t xml:space="preserve"> krypti</w:t>
      </w:r>
      <w:r>
        <w:t>mis</w:t>
      </w:r>
      <w:r w:rsidR="008C4A26">
        <w:t xml:space="preserve">: </w:t>
      </w:r>
      <w:bookmarkStart w:id="0" w:name="_Hlk96689484"/>
    </w:p>
    <w:p w14:paraId="37C07218" w14:textId="77777777" w:rsidR="009A2D94" w:rsidRPr="009A2D94" w:rsidRDefault="007310CC" w:rsidP="000B5517">
      <w:pPr>
        <w:numPr>
          <w:ilvl w:val="0"/>
          <w:numId w:val="8"/>
        </w:numPr>
        <w:tabs>
          <w:tab w:val="left" w:pos="1276"/>
        </w:tabs>
        <w:ind w:left="0" w:firstLine="851"/>
        <w:jc w:val="both"/>
        <w:rPr>
          <w:bCs/>
        </w:rPr>
      </w:pPr>
      <w:r>
        <w:t>Visagino savivaldybės viešųjų ir biudžetinių į</w:t>
      </w:r>
      <w:r w:rsidR="00C01092">
        <w:t>staigų aprūpinimas transportu</w:t>
      </w:r>
      <w:bookmarkEnd w:id="0"/>
      <w:r w:rsidR="003A1259">
        <w:t>;</w:t>
      </w:r>
    </w:p>
    <w:p w14:paraId="6CE5D969" w14:textId="77777777" w:rsidR="007310CC" w:rsidRDefault="009A2D94" w:rsidP="000B5517">
      <w:pPr>
        <w:numPr>
          <w:ilvl w:val="0"/>
          <w:numId w:val="8"/>
        </w:numPr>
        <w:tabs>
          <w:tab w:val="left" w:pos="1276"/>
        </w:tabs>
        <w:ind w:left="0" w:firstLine="851"/>
        <w:jc w:val="both"/>
        <w:rPr>
          <w:bCs/>
        </w:rPr>
      </w:pPr>
      <w:r>
        <w:t>a</w:t>
      </w:r>
      <w:r w:rsidR="00C01092">
        <w:rPr>
          <w:bCs/>
        </w:rPr>
        <w:t>pgyvendinimo paslaugų teikimas</w:t>
      </w:r>
      <w:r w:rsidR="00422AC5">
        <w:rPr>
          <w:bCs/>
        </w:rPr>
        <w:t xml:space="preserve"> Įstaigos filiale „Visagino parkas“</w:t>
      </w:r>
      <w:r w:rsidR="00E52964">
        <w:rPr>
          <w:bCs/>
        </w:rPr>
        <w:t>;</w:t>
      </w:r>
    </w:p>
    <w:p w14:paraId="48D2710D" w14:textId="77777777" w:rsidR="00B64051" w:rsidRDefault="00B64051" w:rsidP="000B5517">
      <w:pPr>
        <w:numPr>
          <w:ilvl w:val="0"/>
          <w:numId w:val="8"/>
        </w:numPr>
        <w:tabs>
          <w:tab w:val="left" w:pos="1276"/>
        </w:tabs>
        <w:ind w:left="0" w:firstLine="851"/>
        <w:jc w:val="both"/>
        <w:rPr>
          <w:bCs/>
        </w:rPr>
      </w:pPr>
      <w:r>
        <w:rPr>
          <w:bCs/>
        </w:rPr>
        <w:t xml:space="preserve">kempingo veikla. </w:t>
      </w:r>
    </w:p>
    <w:p w14:paraId="4C47ECBE" w14:textId="77777777" w:rsidR="00ED491D" w:rsidRDefault="004C57BE" w:rsidP="000B5517">
      <w:pPr>
        <w:ind w:firstLine="851"/>
        <w:jc w:val="both"/>
        <w:rPr>
          <w:kern w:val="24"/>
        </w:rPr>
      </w:pPr>
      <w:r w:rsidRPr="004C57BE">
        <w:rPr>
          <w:bCs/>
        </w:rPr>
        <w:t>Įstaiga dirba pagal linijinę valdymo struktūrą, kurioje kiekvienas atsakingas darbuotojas atlieka visas savo valdymo funkcijas. Įstaigoje dirbo 2</w:t>
      </w:r>
      <w:r w:rsidR="005A4CB8">
        <w:rPr>
          <w:bCs/>
        </w:rPr>
        <w:t>6</w:t>
      </w:r>
      <w:r w:rsidRPr="004C57BE">
        <w:rPr>
          <w:bCs/>
        </w:rPr>
        <w:t xml:space="preserve"> darbuotojai, turintys reikiamą kompetenciją, kad galėtų sėkmingai įgyvendinti Centro uždavinius.</w:t>
      </w:r>
    </w:p>
    <w:p w14:paraId="7E5219E0" w14:textId="77777777" w:rsidR="004C57BE" w:rsidRPr="004C57BE" w:rsidRDefault="00ED491D" w:rsidP="000B5517">
      <w:pPr>
        <w:ind w:firstLine="851"/>
        <w:jc w:val="both"/>
        <w:rPr>
          <w:bCs/>
        </w:rPr>
      </w:pPr>
      <w:r>
        <w:rPr>
          <w:kern w:val="24"/>
        </w:rPr>
        <w:t>Visagino savivaldybės 2021 m. gruodžio 21 d. Visagino savivaldybės tarybos sprendimu Nr. TS – 250 „</w:t>
      </w:r>
      <w:r>
        <w:t>Dėl Visagino savivaldybės tarybos 2017 m. sausio 26 d. sprendimo Nr. TS-2 „Dėl</w:t>
      </w:r>
      <w:r w:rsidR="000B5517">
        <w:t> </w:t>
      </w:r>
      <w:r>
        <w:t xml:space="preserve">Visagino rekreacijos paslaugų centro didžiausio leistino pareigybių skaičiaus patvirtinimo“ pakeitimo“, </w:t>
      </w:r>
      <w:r>
        <w:rPr>
          <w:kern w:val="24"/>
        </w:rPr>
        <w:t>n</w:t>
      </w:r>
      <w:r w:rsidRPr="000F07CF">
        <w:rPr>
          <w:kern w:val="24"/>
        </w:rPr>
        <w:t>ustatyt</w:t>
      </w:r>
      <w:r>
        <w:rPr>
          <w:kern w:val="24"/>
        </w:rPr>
        <w:t>as</w:t>
      </w:r>
      <w:r w:rsidRPr="000F07CF">
        <w:rPr>
          <w:kern w:val="24"/>
        </w:rPr>
        <w:t xml:space="preserve"> </w:t>
      </w:r>
      <w:r w:rsidRPr="000F07CF">
        <w:t>Visagino rekreacijos paslaugų centro didžiausi</w:t>
      </w:r>
      <w:r>
        <w:t>as</w:t>
      </w:r>
      <w:r w:rsidRPr="000F07CF">
        <w:t xml:space="preserve"> leistin</w:t>
      </w:r>
      <w:r>
        <w:t>as</w:t>
      </w:r>
      <w:r w:rsidRPr="000F07CF">
        <w:t xml:space="preserve"> pareigybių skaiči</w:t>
      </w:r>
      <w:r>
        <w:t>us</w:t>
      </w:r>
      <w:r w:rsidRPr="000F07CF">
        <w:t xml:space="preserve"> – </w:t>
      </w:r>
      <w:r w:rsidRPr="00DB5A8A">
        <w:t>26,25</w:t>
      </w:r>
      <w:r w:rsidRPr="000F07CF">
        <w:t xml:space="preserve">, iš jų </w:t>
      </w:r>
      <w:r>
        <w:t>2</w:t>
      </w:r>
      <w:r w:rsidRPr="000F07CF">
        <w:t xml:space="preserve"> pareigybės 5 mėn. laikotarpiui</w:t>
      </w:r>
      <w:r>
        <w:t>.</w:t>
      </w:r>
    </w:p>
    <w:p w14:paraId="2EB792F3" w14:textId="77777777" w:rsidR="00ED491D" w:rsidRDefault="00ED491D" w:rsidP="000B5517">
      <w:pPr>
        <w:ind w:firstLine="851"/>
        <w:jc w:val="both"/>
      </w:pPr>
      <w:bookmarkStart w:id="1" w:name="_Hlk96688089"/>
      <w:r w:rsidRPr="0074756B">
        <w:rPr>
          <w:b/>
          <w:bCs/>
          <w:i/>
          <w:iCs/>
        </w:rPr>
        <w:t>Visagino savivaldybės viešųjų ir biudžetinių įstaigų aprūpinimas transportu.</w:t>
      </w:r>
      <w:r>
        <w:t xml:space="preserve"> </w:t>
      </w:r>
    </w:p>
    <w:p w14:paraId="538D2F65" w14:textId="77777777" w:rsidR="00ED491D" w:rsidRDefault="00ED491D" w:rsidP="000B5517">
      <w:pPr>
        <w:ind w:firstLine="851"/>
        <w:jc w:val="both"/>
      </w:pPr>
      <w:r>
        <w:t>Visagino savivaldybės viešųjų ir biudžetinių įstaigų aprūpinimo transportu funkcijos vykdymui įstaiga turi 9 transporto priemones, iš jų 2 autobusai 16 vietų</w:t>
      </w:r>
      <w:r w:rsidRPr="00165D67">
        <w:t>, 5</w:t>
      </w:r>
      <w:r>
        <w:t xml:space="preserve"> mokykliniai autobusai, 2</w:t>
      </w:r>
      <w:r w:rsidR="000B5517">
        <w:t> </w:t>
      </w:r>
      <w:r>
        <w:t>lengvieji automobiliai.</w:t>
      </w:r>
    </w:p>
    <w:p w14:paraId="6A601B97" w14:textId="77777777" w:rsidR="00ED491D" w:rsidRDefault="00ED491D" w:rsidP="000B5517">
      <w:pPr>
        <w:ind w:firstLine="851"/>
        <w:jc w:val="both"/>
      </w:pPr>
      <w:r>
        <w:t xml:space="preserve">Ataskaitiniu laikotarpiu aprūpinimo transportu funkcija buvo vykdoma vadovaujantis trimis </w:t>
      </w:r>
      <w:r w:rsidR="00895F5E">
        <w:t>kryptimis</w:t>
      </w:r>
      <w:r>
        <w:t>:</w:t>
      </w:r>
    </w:p>
    <w:p w14:paraId="040F7143" w14:textId="77777777" w:rsidR="00ED491D" w:rsidRPr="00CF1796" w:rsidRDefault="00ED491D" w:rsidP="000B5517">
      <w:pPr>
        <w:numPr>
          <w:ilvl w:val="1"/>
          <w:numId w:val="4"/>
        </w:numPr>
        <w:tabs>
          <w:tab w:val="left" w:pos="1276"/>
        </w:tabs>
        <w:ind w:left="0" w:firstLine="851"/>
        <w:jc w:val="both"/>
      </w:pPr>
      <w:r w:rsidRPr="005C5672">
        <w:rPr>
          <w:i/>
          <w:iCs/>
        </w:rPr>
        <w:t>Mokinių pavėžėjimas iš kaimo vietovių į mokyklas ir į namus</w:t>
      </w:r>
      <w:r>
        <w:t>.</w:t>
      </w:r>
      <w:r>
        <w:rPr>
          <w:bCs/>
        </w:rPr>
        <w:t xml:space="preserve"> </w:t>
      </w:r>
      <w:r>
        <w:t>Mokinių, važinėjančių mokykliniais autobusais, skaičius 2022 metais buvo 145</w:t>
      </w:r>
      <w:r w:rsidRPr="002B38B4">
        <w:t xml:space="preserve"> </w:t>
      </w:r>
      <w:r>
        <w:rPr>
          <w:highlight w:val="white"/>
        </w:rPr>
        <w:t xml:space="preserve">asmenys. </w:t>
      </w:r>
      <w:r>
        <w:rPr>
          <w:bCs/>
        </w:rPr>
        <w:t>T</w:t>
      </w:r>
      <w:r>
        <w:t>am tikslui skirti keturi 19</w:t>
      </w:r>
      <w:r w:rsidR="000B5517">
        <w:t> </w:t>
      </w:r>
      <w:r>
        <w:t>vietų</w:t>
      </w:r>
      <w:r w:rsidR="000B5517">
        <w:t> </w:t>
      </w:r>
      <w:r>
        <w:t>mokykliniai autobusai, nupirkta mokinių pavėžėjimo specialaus reiso maršrutu vežimo paslauga 50-čiai sėdimų vietų. V</w:t>
      </w:r>
      <w:r>
        <w:rPr>
          <w:bCs/>
          <w:highlight w:val="white"/>
        </w:rPr>
        <w:t>ienas 19 v</w:t>
      </w:r>
      <w:r>
        <w:rPr>
          <w:bCs/>
        </w:rPr>
        <w:t xml:space="preserve">ietų mokyklinis autobusas skirtas mokiniams, kurie turi specialiųjų ugdymosi poreikių ir nepajėgia patys atvykti į bendrojo ugdymo įstaigas. Autobusas pritaikytas mokiniams, turintiems specialiųjų poreikių, jame sumontuotas sertifikuotas EEC automatinis keltuvas. </w:t>
      </w:r>
      <w:r w:rsidRPr="00CF1796">
        <w:rPr>
          <w:bCs/>
        </w:rPr>
        <w:t xml:space="preserve">Šia paslauga naudojasi trys mokiniai, iš kurių du su neįgaliųjų vėžimėliu. </w:t>
      </w:r>
    </w:p>
    <w:p w14:paraId="5F78BF0D" w14:textId="77777777" w:rsidR="005C5672" w:rsidRDefault="00ED491D" w:rsidP="000B5517">
      <w:pPr>
        <w:numPr>
          <w:ilvl w:val="1"/>
          <w:numId w:val="4"/>
        </w:numPr>
        <w:tabs>
          <w:tab w:val="left" w:pos="1276"/>
        </w:tabs>
        <w:ind w:left="0" w:firstLine="851"/>
        <w:jc w:val="both"/>
      </w:pPr>
      <w:r w:rsidRPr="005C5672">
        <w:rPr>
          <w:i/>
          <w:iCs/>
        </w:rPr>
        <w:t>COVID-19 pandemijos metų pavestų funkcijų vykdymas</w:t>
      </w:r>
      <w:bookmarkStart w:id="2" w:name="_Hlk96690652"/>
      <w:r w:rsidRPr="005C5672">
        <w:rPr>
          <w:i/>
          <w:iCs/>
        </w:rPr>
        <w:t xml:space="preserve"> iki 2022 m. balandžio 30</w:t>
      </w:r>
      <w:r w:rsidR="000B5517">
        <w:rPr>
          <w:i/>
          <w:iCs/>
        </w:rPr>
        <w:t> </w:t>
      </w:r>
      <w:r w:rsidRPr="005C5672">
        <w:rPr>
          <w:i/>
          <w:iCs/>
        </w:rPr>
        <w:t>d.</w:t>
      </w:r>
      <w:r w:rsidR="000B5517">
        <w:t> </w:t>
      </w:r>
      <w:r>
        <w:t>Vadovaudamasi Visagino savivaldybės administracijos 2020 m. balandžio 29 d. įsakymu Nr.</w:t>
      </w:r>
      <w:r w:rsidR="000B5517">
        <w:t> </w:t>
      </w:r>
      <w:r>
        <w:t>ĮV-E-218 „Dėl Visagino savivaldybės administracijos direktoriaus 2020 m. kovo 20 d. įsakymo Nr.</w:t>
      </w:r>
      <w:r w:rsidR="000B5517">
        <w:t> </w:t>
      </w:r>
      <w:r>
        <w:t xml:space="preserve">ĮV-E-127 „Dėl transporto paslaugų </w:t>
      </w:r>
      <w:bookmarkStart w:id="3" w:name="_Hlk96690390"/>
      <w:r>
        <w:t>pacientams, kuriems būtina atlikti COVID-19 ligos</w:t>
      </w:r>
      <w:r w:rsidR="005C5672">
        <w:t xml:space="preserve"> </w:t>
      </w:r>
      <w:r>
        <w:t>(koronoviruso infekcijos) laboratorinį tyrimą</w:t>
      </w:r>
      <w:bookmarkEnd w:id="3"/>
      <w:r>
        <w:t>, teikimo</w:t>
      </w:r>
      <w:r w:rsidR="005C5672">
        <w:t xml:space="preserve"> </w:t>
      </w:r>
      <w:r>
        <w:t xml:space="preserve">užtikrinimo“ įstaiga skyrė transportą, pacientams, kuriems būtina atlikti COVID-19 ligos laboratorinį tyrimą. </w:t>
      </w:r>
      <w:r w:rsidR="005C5672">
        <w:t>Vadovaudamasi Visagino</w:t>
      </w:r>
      <w:r w:rsidR="000B5517">
        <w:t> </w:t>
      </w:r>
      <w:r w:rsidR="005C5672">
        <w:t>savivaldybės administracijos 2021 m. spalio 22 d. įsakymu Nr. ĮV-E-472 „Dėl COVID-19 liga (koronaviruso infekcija) sergančių asmenų pervežimo“ įstaiga teikė transportą, asmenų, sergančių COVID-19 liga, kurie išrašomi iš stacionarinių asmens sveikatos priežiūros įstaigų ar paleidžiami iš laisvės atėmimo įstaigų tęsti COVID-19 ligos gydymo ambulatoriškai, transportavimui į šių asmenų namus ar kitą gyvenamąją vietą darbo ir išeiginėmis dienomis, jeigu tokie asmenys neturi galimybės grįžti nuosavu ar artimųjų transportu.</w:t>
      </w:r>
    </w:p>
    <w:p w14:paraId="364639E7" w14:textId="77777777" w:rsidR="00ED491D" w:rsidRDefault="00ED491D" w:rsidP="000B5517">
      <w:pPr>
        <w:ind w:firstLine="851"/>
        <w:jc w:val="both"/>
      </w:pPr>
      <w:bookmarkStart w:id="4" w:name="_Hlk96692766"/>
      <w:r>
        <w:lastRenderedPageBreak/>
        <w:t xml:space="preserve">Vadovaudamasi </w:t>
      </w:r>
      <w:bookmarkEnd w:id="4"/>
      <w:r>
        <w:t>Visagino savivaldybės administracijos 2021 m. gruodžio 16 d. įsakymu Nr.</w:t>
      </w:r>
      <w:r w:rsidR="000B5517">
        <w:t> </w:t>
      </w:r>
      <w:r>
        <w:t>ĮV-E-555 „Dėl ėminių COVID-19 ligos (koronaviruso infekcijos) nustatymui paėmimo“ įstaiga vykdė paimtų PGR ėminių pristatymą į COVID-19 ligos tyrimus atliekančias laboratorijas.</w:t>
      </w:r>
      <w:bookmarkEnd w:id="2"/>
    </w:p>
    <w:p w14:paraId="3F282723" w14:textId="77777777" w:rsidR="00ED491D" w:rsidRPr="005C5672" w:rsidRDefault="00ED491D" w:rsidP="000B5517">
      <w:pPr>
        <w:ind w:firstLine="851"/>
        <w:jc w:val="both"/>
      </w:pPr>
      <w:r>
        <w:t xml:space="preserve">3. </w:t>
      </w:r>
      <w:r w:rsidRPr="005C5672">
        <w:rPr>
          <w:i/>
          <w:iCs/>
        </w:rPr>
        <w:t>Visagino savivaldybės viešųjų ir biudžetinių įstaigų aprūpinimo transportu organizavimas, vykdant jų veiklos planuose numatytas priemones</w:t>
      </w:r>
      <w:r>
        <w:t>. Ši įstaigos funkcija buvo organizuota pagal Visagino savivaldybės tarybos 2018 m. lapkričio 29 d. sprendimą Nr. TS-215</w:t>
      </w:r>
      <w:r w:rsidRPr="003A1259">
        <w:t xml:space="preserve"> </w:t>
      </w:r>
      <w:r>
        <w:t>„</w:t>
      </w:r>
      <w:r w:rsidRPr="003A1259">
        <w:t>Dėl tarnybinių lengvųjų automobilių įsigijimo, nuomos ir transporto naudojimo Visagino</w:t>
      </w:r>
      <w:r w:rsidR="000B5517">
        <w:t> </w:t>
      </w:r>
      <w:r w:rsidRPr="003A1259">
        <w:t>savivaldybės uždarosiose akcinėse bendrovėse, viešosiose ir biudžetinėse įstaigose tvarkos aprašo patvirtinimo</w:t>
      </w:r>
      <w:r>
        <w:t>“. 2022 metais iš Visagino savivaldybės švietimo, viešųjų, kultūros ir sporto įstaigų buvo gautos 523 transporto pateikimo paraiškos</w:t>
      </w:r>
      <w:r w:rsidR="005C5672">
        <w:t>,</w:t>
      </w:r>
      <w:r>
        <w:t xml:space="preserve"> </w:t>
      </w:r>
      <w:r w:rsidRPr="005C5672">
        <w:t>iš kurių 9 ne</w:t>
      </w:r>
      <w:r w:rsidR="005C5672">
        <w:t>patenkintos,</w:t>
      </w:r>
      <w:r w:rsidRPr="005C5672">
        <w:t xml:space="preserve"> dėl didelio užimtumo.</w:t>
      </w:r>
    </w:p>
    <w:p w14:paraId="027249DA" w14:textId="77777777" w:rsidR="00ED491D" w:rsidRDefault="00ED491D" w:rsidP="000B5517">
      <w:pPr>
        <w:ind w:firstLine="851"/>
        <w:jc w:val="both"/>
      </w:pPr>
      <w:r w:rsidRPr="005C5672">
        <w:t>Siekiant įvykdyti kuo didesnį pateiktų paraiškų skaičių dalies vairuotojų darbas organizuojamas pagal slenkantį darbo grafiką, 2022 m. sausį įsteigta dar viena vairuotojo pareigybė. Įstaiga, vykdydama aprūpinimo transportu funkcijas, nuolat rūpinasi, kad skiriamas transportas būtų techniškai tvarkingas, laiku vykdoma techninė apžiūra, perkamos draudimo paslaugos.</w:t>
      </w:r>
      <w:r>
        <w:t xml:space="preserve"> </w:t>
      </w:r>
    </w:p>
    <w:bookmarkEnd w:id="1"/>
    <w:p w14:paraId="7587E564" w14:textId="77777777" w:rsidR="00ED491D" w:rsidRPr="005C5672" w:rsidRDefault="00870615" w:rsidP="000B5517">
      <w:pPr>
        <w:tabs>
          <w:tab w:val="left" w:pos="0"/>
        </w:tabs>
        <w:ind w:firstLine="851"/>
        <w:jc w:val="both"/>
      </w:pPr>
      <w:r>
        <w:rPr>
          <w:b/>
          <w:bCs/>
          <w:i/>
          <w:iCs/>
        </w:rPr>
        <w:t>Filialo „Visagino parkas“ veikla</w:t>
      </w:r>
      <w:r w:rsidR="00ED491D" w:rsidRPr="005C5672">
        <w:rPr>
          <w:bCs/>
        </w:rPr>
        <w:t>. Apgyvendinimo paslaugos Įstaigos filiale (Visagino</w:t>
      </w:r>
      <w:r w:rsidR="000B5517">
        <w:rPr>
          <w:bCs/>
        </w:rPr>
        <w:t> </w:t>
      </w:r>
      <w:r w:rsidR="00ED491D" w:rsidRPr="005C5672">
        <w:rPr>
          <w:bCs/>
        </w:rPr>
        <w:t>sav., Ramybės k., Balto g. 1) „Visagino parkas“ pradėtos teikti nuo 2015 metų sausio mėnesio.</w:t>
      </w:r>
      <w:r w:rsidR="00ED491D" w:rsidRPr="005C5672">
        <w:rPr>
          <w:bCs/>
          <w:highlight w:val="white"/>
        </w:rPr>
        <w:t xml:space="preserve"> </w:t>
      </w:r>
    </w:p>
    <w:p w14:paraId="79782C2E" w14:textId="77777777" w:rsidR="00ED491D" w:rsidRPr="005C5672" w:rsidRDefault="005C5672" w:rsidP="000B5517">
      <w:pPr>
        <w:tabs>
          <w:tab w:val="left" w:pos="0"/>
        </w:tabs>
        <w:ind w:firstLine="851"/>
        <w:jc w:val="both"/>
      </w:pPr>
      <w:r>
        <w:rPr>
          <w:bCs/>
        </w:rPr>
        <w:t>Ataskaitiniu laikotarpiu</w:t>
      </w:r>
      <w:r w:rsidR="00ED491D" w:rsidRPr="005C5672">
        <w:rPr>
          <w:bCs/>
        </w:rPr>
        <w:t xml:space="preserve"> iki 2022</w:t>
      </w:r>
      <w:r>
        <w:rPr>
          <w:bCs/>
        </w:rPr>
        <w:t xml:space="preserve"> m. vasario 24 d. </w:t>
      </w:r>
      <w:r w:rsidR="00ED491D" w:rsidRPr="005C5672">
        <w:t xml:space="preserve">vadovaujantis Visagino savivaldybės administracijos direktoriaus 2020 m. kovo 17 d. įsakymu Nr. ĮV-E-115 „Dėl Asmenų, įtariamų, kad serga, ir (arba) asmenų, turėjusių sąlytį su ligoniu ar asmeniu, įtariamu, kad serga, ir neturinčių galimybės izoliuotis nuo kitų kartu gyvenančių asmenų, apgyvendinimo Visagino savivaldybėje tvarkos aprašo patvirtinimo“ Įstaigos filialo „Visagino parko“ patalpų dalis buvo paskirtos asmenų, įtariamų, kad serga, ir (arba) asmenų, turėjusių sąlytį su ligoniu ar asmeniu, įtariamu, kad serga, ir neturinčių galimybės izoliuotis nuo kitų kartu gyvenančių asmenų, izoliavimuisi. </w:t>
      </w:r>
    </w:p>
    <w:p w14:paraId="1243E569" w14:textId="77777777" w:rsidR="00ED491D" w:rsidRPr="005C5672" w:rsidRDefault="00ED491D" w:rsidP="000B5517">
      <w:pPr>
        <w:tabs>
          <w:tab w:val="left" w:pos="0"/>
        </w:tabs>
        <w:ind w:firstLine="851"/>
        <w:jc w:val="both"/>
        <w:rPr>
          <w:bCs/>
          <w:kern w:val="24"/>
        </w:rPr>
      </w:pPr>
      <w:r w:rsidRPr="005C5672">
        <w:t xml:space="preserve">Nuo 2022 m. kovo 1 d. vadovaujantis </w:t>
      </w:r>
      <w:r w:rsidRPr="005C5672">
        <w:rPr>
          <w:bCs/>
          <w:kern w:val="24"/>
        </w:rPr>
        <w:t>Visagino savivaldybės administracijos direktoriaus 2022 m. kovo 10 d. įsakymu Nr. ĮV-E-121 „Dėl Ukrainos piliečių, pasitraukusių iš Ukrainos į Lietuvos Respubliką dėl Rusijos Federacijos karinių veiksmų Ukrainoje, apgyvendinimo Visagino</w:t>
      </w:r>
      <w:r w:rsidR="000B5517">
        <w:rPr>
          <w:bCs/>
          <w:kern w:val="24"/>
        </w:rPr>
        <w:t> </w:t>
      </w:r>
      <w:r w:rsidRPr="005C5672">
        <w:rPr>
          <w:bCs/>
          <w:kern w:val="24"/>
        </w:rPr>
        <w:t>rekreacijos paslaugų centro filiale „Visagino parkas“, buvo pradėti apgyvendinti nuo karinių veiksmų Ukrainoje pasitraukę ukrainiečiai.</w:t>
      </w:r>
    </w:p>
    <w:p w14:paraId="51C4BAFF" w14:textId="77777777" w:rsidR="00ED491D" w:rsidRPr="005C5672" w:rsidRDefault="00ED491D" w:rsidP="000B5517">
      <w:pPr>
        <w:tabs>
          <w:tab w:val="left" w:pos="0"/>
        </w:tabs>
        <w:ind w:firstLine="851"/>
        <w:jc w:val="both"/>
        <w:rPr>
          <w:bCs/>
          <w:kern w:val="24"/>
        </w:rPr>
      </w:pPr>
      <w:r w:rsidRPr="005C5672">
        <w:rPr>
          <w:bCs/>
          <w:kern w:val="24"/>
        </w:rPr>
        <w:t>2022 metų kovo-birželio mėnesiais iš esmės pagrindinė filialo „Visagino parkas“ veikla buvo u</w:t>
      </w:r>
      <w:r w:rsidR="00EF757B">
        <w:rPr>
          <w:bCs/>
          <w:kern w:val="24"/>
        </w:rPr>
        <w:t>krainiečių</w:t>
      </w:r>
      <w:r w:rsidRPr="005C5672">
        <w:rPr>
          <w:bCs/>
          <w:kern w:val="24"/>
        </w:rPr>
        <w:t xml:space="preserve"> apgyvendinimas.</w:t>
      </w:r>
    </w:p>
    <w:p w14:paraId="034697EA" w14:textId="77777777" w:rsidR="00ED491D" w:rsidRPr="005C5672" w:rsidRDefault="00ED491D" w:rsidP="000B5517">
      <w:pPr>
        <w:tabs>
          <w:tab w:val="left" w:pos="0"/>
        </w:tabs>
        <w:ind w:firstLine="851"/>
        <w:jc w:val="both"/>
        <w:rPr>
          <w:bCs/>
          <w:kern w:val="24"/>
        </w:rPr>
      </w:pPr>
      <w:r w:rsidRPr="005C5672">
        <w:rPr>
          <w:bCs/>
          <w:kern w:val="24"/>
        </w:rPr>
        <w:t>Iš viso laikinai apsistoję buvo 191 asm</w:t>
      </w:r>
      <w:r w:rsidR="005C5672">
        <w:rPr>
          <w:bCs/>
          <w:kern w:val="24"/>
        </w:rPr>
        <w:t>uo</w:t>
      </w:r>
      <w:r w:rsidRPr="005C5672">
        <w:rPr>
          <w:bCs/>
          <w:kern w:val="24"/>
        </w:rPr>
        <w:t xml:space="preserve"> (80 šeimų)</w:t>
      </w:r>
      <w:r w:rsidR="005C5672">
        <w:rPr>
          <w:bCs/>
          <w:kern w:val="24"/>
        </w:rPr>
        <w:t xml:space="preserve">. </w:t>
      </w:r>
      <w:r w:rsidRPr="005C5672">
        <w:rPr>
          <w:bCs/>
          <w:kern w:val="24"/>
        </w:rPr>
        <w:t>Dalis iš jų gyvena iki šiol. Iki metų pabaigos gyveno 21 asmuo (10 šeimų)</w:t>
      </w:r>
      <w:r w:rsidR="005C5672">
        <w:rPr>
          <w:bCs/>
          <w:kern w:val="24"/>
        </w:rPr>
        <w:t>.</w:t>
      </w:r>
    </w:p>
    <w:p w14:paraId="463EA63A" w14:textId="77777777" w:rsidR="00ED491D" w:rsidRPr="005C5672" w:rsidRDefault="00ED491D" w:rsidP="000B5517">
      <w:pPr>
        <w:ind w:firstLine="851"/>
        <w:jc w:val="both"/>
        <w:rPr>
          <w:lang w:eastAsia="lt-LT"/>
        </w:rPr>
      </w:pPr>
      <w:r w:rsidRPr="005C5672">
        <w:rPr>
          <w:lang w:eastAsia="lt-LT"/>
        </w:rPr>
        <w:t>2022</w:t>
      </w:r>
      <w:r w:rsidR="005C5672">
        <w:rPr>
          <w:lang w:eastAsia="lt-LT"/>
        </w:rPr>
        <w:t xml:space="preserve"> </w:t>
      </w:r>
      <w:r w:rsidRPr="005C5672">
        <w:rPr>
          <w:lang w:eastAsia="lt-LT"/>
        </w:rPr>
        <w:t xml:space="preserve">m. įstaiga dalyvavo </w:t>
      </w:r>
      <w:r w:rsidR="005C5672">
        <w:rPr>
          <w:lang w:eastAsia="lt-LT"/>
        </w:rPr>
        <w:t>U</w:t>
      </w:r>
      <w:r w:rsidRPr="005C5672">
        <w:rPr>
          <w:lang w:eastAsia="lt-LT"/>
        </w:rPr>
        <w:t xml:space="preserve">žimtumo </w:t>
      </w:r>
      <w:r w:rsidR="005C5672">
        <w:rPr>
          <w:lang w:eastAsia="lt-LT"/>
        </w:rPr>
        <w:t xml:space="preserve">didinimo </w:t>
      </w:r>
      <w:r w:rsidRPr="005C5672">
        <w:rPr>
          <w:lang w:eastAsia="lt-LT"/>
        </w:rPr>
        <w:t>programoje. Laikin</w:t>
      </w:r>
      <w:r w:rsidR="005C5672">
        <w:rPr>
          <w:lang w:eastAsia="lt-LT"/>
        </w:rPr>
        <w:t xml:space="preserve">ojo pobūdžio darbams vykdyti buvo </w:t>
      </w:r>
      <w:r w:rsidRPr="005C5672">
        <w:rPr>
          <w:lang w:eastAsia="lt-LT"/>
        </w:rPr>
        <w:t>įdarbinti 5 asmenys.</w:t>
      </w:r>
    </w:p>
    <w:p w14:paraId="6C7BDE14" w14:textId="77777777" w:rsidR="00ED491D" w:rsidRPr="005C5672" w:rsidRDefault="00870615" w:rsidP="000B5517">
      <w:pPr>
        <w:ind w:firstLine="851"/>
        <w:jc w:val="both"/>
        <w:rPr>
          <w:lang w:eastAsia="lt-LT"/>
        </w:rPr>
      </w:pPr>
      <w:r>
        <w:t xml:space="preserve">Taip pat ataskaitiniu laikotarpiu Įstaiga teikė rekreacinio pobūdžio paslaugas. Miesto svečiai ir turistai galėjo apsilankyti Ignalinos AE treniruoklio patalpose, taip pat gauti apgyvendinimo paslaugas. </w:t>
      </w:r>
      <w:r w:rsidR="00ED491D" w:rsidRPr="008B0F29">
        <w:rPr>
          <w:lang w:eastAsia="lt-LT"/>
        </w:rPr>
        <w:t xml:space="preserve">2022 m. </w:t>
      </w:r>
      <w:r>
        <w:t>Ignalinos AE treniruoklio patalpose</w:t>
      </w:r>
      <w:r w:rsidRPr="005C5672">
        <w:rPr>
          <w:lang w:eastAsia="lt-LT"/>
        </w:rPr>
        <w:t xml:space="preserve"> </w:t>
      </w:r>
      <w:r w:rsidR="00ED491D" w:rsidRPr="005C5672">
        <w:rPr>
          <w:lang w:eastAsia="lt-LT"/>
        </w:rPr>
        <w:t>apsilankė virš 200</w:t>
      </w:r>
      <w:r w:rsidR="000B5517">
        <w:rPr>
          <w:lang w:eastAsia="lt-LT"/>
        </w:rPr>
        <w:t> </w:t>
      </w:r>
      <w:r w:rsidR="00ED491D" w:rsidRPr="005C5672">
        <w:rPr>
          <w:lang w:eastAsia="lt-LT"/>
        </w:rPr>
        <w:t>lankytojų.</w:t>
      </w:r>
    </w:p>
    <w:p w14:paraId="6703A265" w14:textId="77777777" w:rsidR="00ED491D" w:rsidRDefault="00ED491D" w:rsidP="000B5517">
      <w:pPr>
        <w:ind w:firstLine="851"/>
        <w:jc w:val="both"/>
        <w:rPr>
          <w:lang w:eastAsia="lt-LT"/>
        </w:rPr>
      </w:pPr>
      <w:r w:rsidRPr="005C5672">
        <w:rPr>
          <w:lang w:eastAsia="lt-LT"/>
        </w:rPr>
        <w:t>Apgyvendinimo paslaugos 2022</w:t>
      </w:r>
      <w:r w:rsidR="00870615">
        <w:rPr>
          <w:lang w:eastAsia="lt-LT"/>
        </w:rPr>
        <w:t xml:space="preserve"> </w:t>
      </w:r>
      <w:r w:rsidRPr="005C5672">
        <w:rPr>
          <w:lang w:eastAsia="lt-LT"/>
        </w:rPr>
        <w:t>m. suteiktos 1109 asmeniui, iš jų 109 užsieniečiams. Viso</w:t>
      </w:r>
      <w:r w:rsidR="000B5517">
        <w:rPr>
          <w:lang w:val="en-US" w:eastAsia="lt-LT"/>
        </w:rPr>
        <w:t> </w:t>
      </w:r>
      <w:r w:rsidRPr="005C5672">
        <w:rPr>
          <w:lang w:eastAsia="lt-LT"/>
        </w:rPr>
        <w:t>nakvynių (lovadienių) – 3055.</w:t>
      </w:r>
    </w:p>
    <w:p w14:paraId="1179E3B9" w14:textId="77777777" w:rsidR="00362C30" w:rsidRPr="00362C30" w:rsidRDefault="00362C30" w:rsidP="000B5517">
      <w:pPr>
        <w:ind w:firstLine="851"/>
        <w:jc w:val="both"/>
        <w:rPr>
          <w:b/>
          <w:bCs/>
          <w:i/>
          <w:iCs/>
          <w:lang w:eastAsia="lt-LT"/>
        </w:rPr>
      </w:pPr>
      <w:r w:rsidRPr="00362C30">
        <w:rPr>
          <w:b/>
          <w:bCs/>
          <w:i/>
          <w:iCs/>
          <w:lang w:eastAsia="lt-LT"/>
        </w:rPr>
        <w:t xml:space="preserve">Kempingo veikla. </w:t>
      </w:r>
      <w:r w:rsidR="00556CE5">
        <w:rPr>
          <w:lang w:eastAsia="lt-LT"/>
        </w:rPr>
        <w:t>Vadovaujantis 2021 m. balandžio 8 d. sutartimi Nr. PD2021-1 pasirašyta tarp Visagino rekreacijos paslaugų centro ir UAB „Kornealita“ kempingas buvo išnuomotas 5 metų laikotarpiui. Nuomininkas už turto nuomą yra įsipareigojęs mokėti nuompinigius (439 Eur per mėnesį)</w:t>
      </w:r>
      <w:r w:rsidR="000B5517">
        <w:rPr>
          <w:lang w:eastAsia="lt-LT"/>
        </w:rPr>
        <w:t>.</w:t>
      </w:r>
    </w:p>
    <w:p w14:paraId="51F396B6" w14:textId="77777777" w:rsidR="000B5517" w:rsidRDefault="000B5517" w:rsidP="000B5517">
      <w:pPr>
        <w:pStyle w:val="Sraopastraipa"/>
        <w:tabs>
          <w:tab w:val="left" w:pos="426"/>
          <w:tab w:val="left" w:pos="567"/>
          <w:tab w:val="left" w:pos="709"/>
          <w:tab w:val="left" w:pos="1418"/>
        </w:tabs>
        <w:spacing w:after="0" w:line="240" w:lineRule="auto"/>
        <w:ind w:left="0"/>
        <w:jc w:val="center"/>
        <w:rPr>
          <w:szCs w:val="24"/>
          <w:lang w:eastAsia="lt-LT"/>
        </w:rPr>
      </w:pPr>
      <w:r>
        <w:rPr>
          <w:rFonts w:ascii="Times New Roman" w:hAnsi="Times New Roman"/>
          <w:sz w:val="24"/>
          <w:szCs w:val="24"/>
          <w:lang w:eastAsia="lt-LT"/>
        </w:rPr>
        <w:t>_____________________________________</w:t>
      </w:r>
    </w:p>
    <w:sectPr w:rsidR="000B5517" w:rsidSect="005C5672">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9D8B" w14:textId="77777777" w:rsidR="00087F61" w:rsidRDefault="00087F61">
      <w:r>
        <w:separator/>
      </w:r>
    </w:p>
  </w:endnote>
  <w:endnote w:type="continuationSeparator" w:id="0">
    <w:p w14:paraId="7B45F4C5" w14:textId="77777777" w:rsidR="00087F61" w:rsidRDefault="0008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CDE7" w14:textId="77777777" w:rsidR="00087F61" w:rsidRDefault="00087F61">
      <w:r>
        <w:separator/>
      </w:r>
    </w:p>
  </w:footnote>
  <w:footnote w:type="continuationSeparator" w:id="0">
    <w:p w14:paraId="029A09FF" w14:textId="77777777" w:rsidR="00087F61" w:rsidRDefault="0008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138" w14:textId="2385C5BC" w:rsidR="008C4A26" w:rsidRDefault="00C504BB">
    <w:pPr>
      <w:pStyle w:val="Antrats"/>
    </w:pPr>
    <w:r>
      <w:rPr>
        <w:noProof/>
      </w:rPr>
      <mc:AlternateContent>
        <mc:Choice Requires="wps">
          <w:drawing>
            <wp:anchor distT="0" distB="0" distL="0" distR="0" simplePos="0" relativeHeight="251657728" behindDoc="0" locked="0" layoutInCell="1" allowOverlap="1" wp14:anchorId="57EECCC5" wp14:editId="42A3DDEE">
              <wp:simplePos x="0" y="0"/>
              <wp:positionH relativeFrom="margin">
                <wp:align>center</wp:align>
              </wp:positionH>
              <wp:positionV relativeFrom="paragraph">
                <wp:posOffset>635</wp:posOffset>
              </wp:positionV>
              <wp:extent cx="1089660" cy="174625"/>
              <wp:effectExtent l="0"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274A9" w14:textId="77777777" w:rsidR="008C4A26" w:rsidRDefault="008C4A26" w:rsidP="0099566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0</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CCC5" id="_x0000_t202" coordsize="21600,21600" o:spt="202" path="m,l,21600r21600,l21600,xe">
              <v:stroke joinstyle="miter"/>
              <v:path gradientshapeok="t" o:connecttype="rect"/>
            </v:shapetype>
            <v:shape id="Text Box 1" o:spid="_x0000_s1026" type="#_x0000_t202" style="position:absolute;margin-left:0;margin-top:.05pt;width:85.8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" stroked="f">
              <v:fill opacity="0"/>
              <v:textbox inset="0,0,0,0">
                <w:txbxContent>
                  <w:p w14:paraId="7F3274A9" w14:textId="77777777" w:rsidR="008C4A26" w:rsidRDefault="008C4A26" w:rsidP="0099566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0</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DAE3A32"/>
    <w:lvl w:ilvl="0">
      <w:start w:val="1"/>
      <w:numFmt w:val="upperRoman"/>
      <w:pStyle w:val="Antrat1"/>
      <w:lvlText w:val="%1."/>
      <w:lvlJc w:val="left"/>
      <w:pPr>
        <w:tabs>
          <w:tab w:val="num" w:pos="0"/>
        </w:tabs>
        <w:ind w:left="0" w:firstLine="0"/>
      </w:pPr>
      <w:rPr>
        <w:rFonts w:ascii="Times New Roman" w:hAnsi="Times New Roman" w:cs="Times New Roman" w:hint="default"/>
        <w:sz w:val="24"/>
        <w:szCs w:val="24"/>
      </w:rPr>
    </w:lvl>
    <w:lvl w:ilvl="1">
      <w:start w:val="1"/>
      <w:numFmt w:val="upperLetter"/>
      <w:pStyle w:val="Antrat2"/>
      <w:lvlText w:val="%2."/>
      <w:lvlJc w:val="left"/>
      <w:pPr>
        <w:tabs>
          <w:tab w:val="num" w:pos="0"/>
        </w:tabs>
        <w:ind w:left="720" w:firstLine="0"/>
      </w:pPr>
    </w:lvl>
    <w:lvl w:ilvl="2">
      <w:start w:val="1"/>
      <w:numFmt w:val="decimal"/>
      <w:pStyle w:val="Antrat3"/>
      <w:lvlText w:val="%3."/>
      <w:lvlJc w:val="left"/>
      <w:pPr>
        <w:tabs>
          <w:tab w:val="num" w:pos="0"/>
        </w:tabs>
        <w:ind w:left="1440" w:firstLine="0"/>
      </w:pPr>
    </w:lvl>
    <w:lvl w:ilvl="3">
      <w:start w:val="1"/>
      <w:numFmt w:val="lowerLetter"/>
      <w:pStyle w:val="Antrat4"/>
      <w:lvlText w:val="%4)"/>
      <w:lvlJc w:val="left"/>
      <w:pPr>
        <w:tabs>
          <w:tab w:val="num" w:pos="0"/>
        </w:tabs>
        <w:ind w:left="2160" w:firstLine="0"/>
      </w:pPr>
    </w:lvl>
    <w:lvl w:ilvl="4">
      <w:start w:val="1"/>
      <w:numFmt w:val="decimal"/>
      <w:pStyle w:val="Antrat5"/>
      <w:lvlText w:val="(%5)"/>
      <w:lvlJc w:val="left"/>
      <w:pPr>
        <w:tabs>
          <w:tab w:val="num" w:pos="0"/>
        </w:tabs>
        <w:ind w:left="2880" w:firstLine="0"/>
      </w:pPr>
    </w:lvl>
    <w:lvl w:ilvl="5">
      <w:start w:val="1"/>
      <w:numFmt w:val="lowerLetter"/>
      <w:pStyle w:val="Antrat6"/>
      <w:lvlText w:val="(%6)"/>
      <w:lvlJc w:val="left"/>
      <w:pPr>
        <w:tabs>
          <w:tab w:val="num" w:pos="0"/>
        </w:tabs>
        <w:ind w:left="3600" w:firstLine="0"/>
      </w:pPr>
    </w:lvl>
    <w:lvl w:ilvl="6">
      <w:start w:val="1"/>
      <w:numFmt w:val="lowerRoman"/>
      <w:pStyle w:val="Antrat7"/>
      <w:lvlText w:val="(%7)"/>
      <w:lvlJc w:val="left"/>
      <w:pPr>
        <w:tabs>
          <w:tab w:val="num" w:pos="0"/>
        </w:tabs>
        <w:ind w:left="4320" w:firstLine="0"/>
      </w:pPr>
    </w:lvl>
    <w:lvl w:ilvl="7">
      <w:start w:val="1"/>
      <w:numFmt w:val="lowerLetter"/>
      <w:pStyle w:val="Antrat8"/>
      <w:lvlText w:val="(%8)"/>
      <w:lvlJc w:val="left"/>
      <w:pPr>
        <w:tabs>
          <w:tab w:val="num" w:pos="0"/>
        </w:tabs>
        <w:ind w:left="5040" w:firstLine="0"/>
      </w:pPr>
    </w:lvl>
    <w:lvl w:ilvl="8">
      <w:start w:val="1"/>
      <w:numFmt w:val="lowerRoman"/>
      <w:pStyle w:val="Antrat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color w:val="000000"/>
      </w:rPr>
    </w:lvl>
  </w:abstractNum>
  <w:abstractNum w:abstractNumId="2" w15:restartNumberingAfterBreak="0">
    <w:nsid w:val="00000003"/>
    <w:multiLevelType w:val="singleLevel"/>
    <w:tmpl w:val="00000003"/>
    <w:name w:val="WW8Num20"/>
    <w:lvl w:ilvl="0">
      <w:start w:val="1"/>
      <w:numFmt w:val="decimal"/>
      <w:lvlText w:val="%1."/>
      <w:lvlJc w:val="center"/>
      <w:pPr>
        <w:tabs>
          <w:tab w:val="num" w:pos="720"/>
        </w:tabs>
        <w:ind w:left="720" w:hanging="360"/>
      </w:pPr>
      <w:rPr>
        <w:rFonts w:hint="default"/>
        <w:bCs/>
        <w:sz w:val="24"/>
      </w:rPr>
    </w:lvl>
  </w:abstractNum>
  <w:abstractNum w:abstractNumId="3" w15:restartNumberingAfterBreak="0">
    <w:nsid w:val="04402C5C"/>
    <w:multiLevelType w:val="multilevel"/>
    <w:tmpl w:val="8F76050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0E2850AA"/>
    <w:multiLevelType w:val="multilevel"/>
    <w:tmpl w:val="75C0C30E"/>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SimSun" w:hAnsi="Times New Roman" w:cs="Times New Roman"/>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1F011230"/>
    <w:multiLevelType w:val="hybridMultilevel"/>
    <w:tmpl w:val="02421420"/>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24B743FD"/>
    <w:multiLevelType w:val="multilevel"/>
    <w:tmpl w:val="D548C5EA"/>
    <w:lvl w:ilvl="0">
      <w:start w:val="1"/>
      <w:numFmt w:val="decimal"/>
      <w:lvlText w:val="%1."/>
      <w:lvlJc w:val="left"/>
      <w:pPr>
        <w:ind w:left="1080" w:hanging="360"/>
      </w:pPr>
      <w:rPr>
        <w:rFonts w:ascii="Times New Roman" w:hAnsi="Times New Roman" w:cs="Times New Roman" w:hint="default"/>
        <w:b w:val="0"/>
        <w:bCs w:val="0"/>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C2539BC"/>
    <w:multiLevelType w:val="multilevel"/>
    <w:tmpl w:val="40184540"/>
    <w:lvl w:ilvl="0">
      <w:start w:val="1"/>
      <w:numFmt w:val="decimal"/>
      <w:lvlText w:val="%1."/>
      <w:lvlJc w:val="left"/>
      <w:pPr>
        <w:ind w:left="1080" w:hanging="360"/>
      </w:pPr>
      <w:rPr>
        <w:rFonts w:ascii="Times New Roman" w:hAnsi="Times New Roman" w:cs="Times New Roman" w:hint="default"/>
        <w:b w:val="0"/>
        <w:bCs w:val="0"/>
        <w:sz w:val="24"/>
        <w:szCs w:val="24"/>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C65295E"/>
    <w:multiLevelType w:val="hybridMultilevel"/>
    <w:tmpl w:val="CF64B9A2"/>
    <w:lvl w:ilvl="0" w:tplc="EF10C7D6">
      <w:numFmt w:val="bullet"/>
      <w:lvlText w:val="-"/>
      <w:lvlJc w:val="left"/>
      <w:pPr>
        <w:ind w:left="1211" w:hanging="360"/>
      </w:pPr>
      <w:rPr>
        <w:rFonts w:ascii="Times New Roman" w:eastAsia="SimSun" w:hAnsi="Times New Roman" w:cs="Times New Roman" w:hint="default"/>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76667EDE"/>
    <w:multiLevelType w:val="hybridMultilevel"/>
    <w:tmpl w:val="D06EA2FA"/>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1397162983">
    <w:abstractNumId w:val="0"/>
  </w:num>
  <w:num w:numId="2" w16cid:durableId="1395084413">
    <w:abstractNumId w:val="1"/>
  </w:num>
  <w:num w:numId="3" w16cid:durableId="522521542">
    <w:abstractNumId w:val="2"/>
  </w:num>
  <w:num w:numId="4" w16cid:durableId="1598826637">
    <w:abstractNumId w:val="4"/>
  </w:num>
  <w:num w:numId="5" w16cid:durableId="1587838106">
    <w:abstractNumId w:val="3"/>
  </w:num>
  <w:num w:numId="6" w16cid:durableId="1695107879">
    <w:abstractNumId w:val="6"/>
  </w:num>
  <w:num w:numId="7" w16cid:durableId="1646544859">
    <w:abstractNumId w:val="7"/>
  </w:num>
  <w:num w:numId="8" w16cid:durableId="1364163022">
    <w:abstractNumId w:val="10"/>
  </w:num>
  <w:num w:numId="9" w16cid:durableId="644353300">
    <w:abstractNumId w:val="5"/>
  </w:num>
  <w:num w:numId="10" w16cid:durableId="1736314416">
    <w:abstractNumId w:val="8"/>
  </w:num>
  <w:num w:numId="11" w16cid:durableId="2132430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9F"/>
    <w:rsid w:val="000022CC"/>
    <w:rsid w:val="00016620"/>
    <w:rsid w:val="000539C4"/>
    <w:rsid w:val="00087F61"/>
    <w:rsid w:val="000A4C0A"/>
    <w:rsid w:val="000B5517"/>
    <w:rsid w:val="000E1EA1"/>
    <w:rsid w:val="00165605"/>
    <w:rsid w:val="001771B9"/>
    <w:rsid w:val="00180656"/>
    <w:rsid w:val="001F0007"/>
    <w:rsid w:val="00250B9F"/>
    <w:rsid w:val="00251893"/>
    <w:rsid w:val="002573BE"/>
    <w:rsid w:val="00263A2C"/>
    <w:rsid w:val="00281AF8"/>
    <w:rsid w:val="002B38B4"/>
    <w:rsid w:val="002B7643"/>
    <w:rsid w:val="002E6486"/>
    <w:rsid w:val="00313230"/>
    <w:rsid w:val="003330CC"/>
    <w:rsid w:val="003525A9"/>
    <w:rsid w:val="00362024"/>
    <w:rsid w:val="00362C30"/>
    <w:rsid w:val="003A1259"/>
    <w:rsid w:val="003F4392"/>
    <w:rsid w:val="00403166"/>
    <w:rsid w:val="0040500C"/>
    <w:rsid w:val="0040672E"/>
    <w:rsid w:val="00422AC5"/>
    <w:rsid w:val="00431EC5"/>
    <w:rsid w:val="00445E8D"/>
    <w:rsid w:val="004503D7"/>
    <w:rsid w:val="00471953"/>
    <w:rsid w:val="004C4FB6"/>
    <w:rsid w:val="004C57BE"/>
    <w:rsid w:val="005021D9"/>
    <w:rsid w:val="00556CE5"/>
    <w:rsid w:val="005725BD"/>
    <w:rsid w:val="0059718C"/>
    <w:rsid w:val="005A4CB8"/>
    <w:rsid w:val="005B35E6"/>
    <w:rsid w:val="005C5672"/>
    <w:rsid w:val="0068116F"/>
    <w:rsid w:val="006C30B8"/>
    <w:rsid w:val="006C3F7F"/>
    <w:rsid w:val="006D6D4F"/>
    <w:rsid w:val="0071614D"/>
    <w:rsid w:val="00730A67"/>
    <w:rsid w:val="007310CC"/>
    <w:rsid w:val="0074756B"/>
    <w:rsid w:val="00763432"/>
    <w:rsid w:val="007703DD"/>
    <w:rsid w:val="00773F4C"/>
    <w:rsid w:val="007E4D62"/>
    <w:rsid w:val="007F2E47"/>
    <w:rsid w:val="0081705B"/>
    <w:rsid w:val="00870615"/>
    <w:rsid w:val="008729A2"/>
    <w:rsid w:val="00890E7A"/>
    <w:rsid w:val="00895F5E"/>
    <w:rsid w:val="008A1DBF"/>
    <w:rsid w:val="008B0F29"/>
    <w:rsid w:val="008C4A26"/>
    <w:rsid w:val="00905BD3"/>
    <w:rsid w:val="009544D1"/>
    <w:rsid w:val="00963C5E"/>
    <w:rsid w:val="0097578D"/>
    <w:rsid w:val="00995663"/>
    <w:rsid w:val="009A2D94"/>
    <w:rsid w:val="009C2D6A"/>
    <w:rsid w:val="00A10F2E"/>
    <w:rsid w:val="00A63FC1"/>
    <w:rsid w:val="00A91A67"/>
    <w:rsid w:val="00AA3CC4"/>
    <w:rsid w:val="00AF1FCF"/>
    <w:rsid w:val="00B51B23"/>
    <w:rsid w:val="00B64051"/>
    <w:rsid w:val="00B84235"/>
    <w:rsid w:val="00B93686"/>
    <w:rsid w:val="00BC7060"/>
    <w:rsid w:val="00BD43D4"/>
    <w:rsid w:val="00BD7C4E"/>
    <w:rsid w:val="00C01092"/>
    <w:rsid w:val="00C12374"/>
    <w:rsid w:val="00C42660"/>
    <w:rsid w:val="00C504BB"/>
    <w:rsid w:val="00C61A1C"/>
    <w:rsid w:val="00C868EB"/>
    <w:rsid w:val="00CA6051"/>
    <w:rsid w:val="00CF1796"/>
    <w:rsid w:val="00D36C64"/>
    <w:rsid w:val="00D37EC1"/>
    <w:rsid w:val="00D844AE"/>
    <w:rsid w:val="00D8649C"/>
    <w:rsid w:val="00DA773E"/>
    <w:rsid w:val="00DF34AE"/>
    <w:rsid w:val="00E52964"/>
    <w:rsid w:val="00E6144D"/>
    <w:rsid w:val="00ED200D"/>
    <w:rsid w:val="00ED491D"/>
    <w:rsid w:val="00EF757B"/>
    <w:rsid w:val="00F31D2B"/>
    <w:rsid w:val="00F6523B"/>
    <w:rsid w:val="00FB1FFA"/>
    <w:rsid w:val="00FC6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A62F65"/>
  <w15:chartTrackingRefBased/>
  <w15:docId w15:val="{2DCD44C8-0741-4E57-8FEE-0B4A406B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SimSun"/>
      <w:sz w:val="24"/>
      <w:szCs w:val="24"/>
      <w:lang w:eastAsia="zh-CN"/>
    </w:rPr>
  </w:style>
  <w:style w:type="paragraph" w:styleId="Antrat1">
    <w:name w:val="heading 1"/>
    <w:basedOn w:val="prastasis"/>
    <w:next w:val="prastasis"/>
    <w:qFormat/>
    <w:pPr>
      <w:keepNext/>
      <w:numPr>
        <w:numId w:val="1"/>
      </w:numPr>
      <w:spacing w:before="240" w:after="60"/>
      <w:outlineLvl w:val="0"/>
    </w:pPr>
    <w:rPr>
      <w:rFonts w:ascii="Cambria" w:eastAsia="Times New Roman" w:hAnsi="Cambria" w:cs="Cambria"/>
      <w:b/>
      <w:bCs/>
      <w:kern w:val="2"/>
      <w:sz w:val="32"/>
      <w:szCs w:val="32"/>
      <w:lang w:val="x-none"/>
    </w:rPr>
  </w:style>
  <w:style w:type="paragraph" w:styleId="Antrat2">
    <w:name w:val="heading 2"/>
    <w:basedOn w:val="prastasis"/>
    <w:next w:val="prastasis"/>
    <w:qFormat/>
    <w:pPr>
      <w:keepNext/>
      <w:numPr>
        <w:ilvl w:val="1"/>
        <w:numId w:val="1"/>
      </w:numPr>
      <w:spacing w:before="240" w:after="60"/>
      <w:outlineLvl w:val="1"/>
    </w:pPr>
    <w:rPr>
      <w:rFonts w:ascii="Cambria" w:eastAsia="Times New Roman" w:hAnsi="Cambria" w:cs="Cambria"/>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Antrat4">
    <w:name w:val="heading 4"/>
    <w:basedOn w:val="prastasis"/>
    <w:next w:val="prastasis"/>
    <w:qFormat/>
    <w:pPr>
      <w:keepNext/>
      <w:numPr>
        <w:ilvl w:val="3"/>
        <w:numId w:val="1"/>
      </w:numPr>
      <w:spacing w:before="240" w:after="60"/>
      <w:outlineLvl w:val="3"/>
    </w:pPr>
    <w:rPr>
      <w:rFonts w:ascii="Calibri" w:eastAsia="Times New Roman" w:hAnsi="Calibri" w:cs="Calibri"/>
      <w:b/>
      <w:bCs/>
      <w:sz w:val="28"/>
      <w:szCs w:val="28"/>
    </w:rPr>
  </w:style>
  <w:style w:type="paragraph" w:styleId="Antrat5">
    <w:name w:val="heading 5"/>
    <w:basedOn w:val="prastasis"/>
    <w:next w:val="prastasis"/>
    <w:qFormat/>
    <w:pPr>
      <w:numPr>
        <w:ilvl w:val="4"/>
        <w:numId w:val="1"/>
      </w:numPr>
      <w:spacing w:before="240" w:after="60"/>
      <w:outlineLvl w:val="4"/>
    </w:pPr>
    <w:rPr>
      <w:rFonts w:ascii="Calibri" w:eastAsia="Times New Roman" w:hAnsi="Calibri" w:cs="Calibri"/>
      <w:b/>
      <w:bCs/>
      <w:i/>
      <w:iCs/>
      <w:sz w:val="26"/>
      <w:szCs w:val="26"/>
    </w:rPr>
  </w:style>
  <w:style w:type="paragraph" w:styleId="Antrat6">
    <w:name w:val="heading 6"/>
    <w:basedOn w:val="prastasis"/>
    <w:next w:val="prastasis"/>
    <w:qFormat/>
    <w:pPr>
      <w:numPr>
        <w:ilvl w:val="5"/>
        <w:numId w:val="1"/>
      </w:numPr>
      <w:spacing w:before="240" w:after="60"/>
      <w:outlineLvl w:val="5"/>
    </w:pPr>
    <w:rPr>
      <w:rFonts w:ascii="Calibri" w:eastAsia="Times New Roman" w:hAnsi="Calibri" w:cs="Calibri"/>
      <w:b/>
      <w:bCs/>
      <w:sz w:val="22"/>
      <w:szCs w:val="22"/>
    </w:rPr>
  </w:style>
  <w:style w:type="paragraph" w:styleId="Antrat7">
    <w:name w:val="heading 7"/>
    <w:basedOn w:val="prastasis"/>
    <w:next w:val="prastasis"/>
    <w:qFormat/>
    <w:pPr>
      <w:numPr>
        <w:ilvl w:val="6"/>
        <w:numId w:val="1"/>
      </w:numPr>
      <w:spacing w:before="240" w:after="60"/>
      <w:outlineLvl w:val="6"/>
    </w:pPr>
    <w:rPr>
      <w:rFonts w:ascii="Calibri" w:eastAsia="Times New Roman" w:hAnsi="Calibri" w:cs="Calibri"/>
    </w:rPr>
  </w:style>
  <w:style w:type="paragraph" w:styleId="Antrat8">
    <w:name w:val="heading 8"/>
    <w:basedOn w:val="prastasis"/>
    <w:next w:val="prastasis"/>
    <w:qFormat/>
    <w:pPr>
      <w:numPr>
        <w:ilvl w:val="7"/>
        <w:numId w:val="1"/>
      </w:numPr>
      <w:spacing w:before="240" w:after="60"/>
      <w:outlineLvl w:val="7"/>
    </w:pPr>
    <w:rPr>
      <w:rFonts w:ascii="Calibri" w:eastAsia="Times New Roman" w:hAnsi="Calibri" w:cs="Calibri"/>
      <w:i/>
      <w:iCs/>
    </w:rPr>
  </w:style>
  <w:style w:type="paragraph" w:styleId="Antrat9">
    <w:name w:val="heading 9"/>
    <w:basedOn w:val="prastasis"/>
    <w:next w:val="prastasis"/>
    <w:qFormat/>
    <w:pPr>
      <w:numPr>
        <w:ilvl w:val="8"/>
        <w:numId w:val="1"/>
      </w:numPr>
      <w:spacing w:before="240" w:after="60"/>
      <w:outlineLvl w:val="8"/>
    </w:pPr>
    <w:rPr>
      <w:rFonts w:ascii="Cambria" w:eastAsia="Times New Roman" w:hAnsi="Cambria" w:cs="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SimSun" w:hAnsi="Times New Roman" w:cs="Times New Roman" w:hint="default"/>
      <w:b/>
      <w:color w:val="00000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color w:val="000000"/>
    </w:rPr>
  </w:style>
  <w:style w:type="character" w:customStyle="1" w:styleId="WW8Num11z2">
    <w:name w:val="WW8Num11z2"/>
    <w:rPr>
      <w:rFonts w:ascii="Wingdings" w:hAnsi="Wingdings" w:cs="Wingdings"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Tahoma" w:hAnsi="Tahoma" w:cs="Times New Roman"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Cs/>
      <w:sz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a">
    <w:name w:val="Основной шрифт абзаца"/>
  </w:style>
  <w:style w:type="character" w:styleId="Hipersaitas">
    <w:name w:val="Hyperlink"/>
    <w:rPr>
      <w:color w:val="0000FF"/>
      <w:u w:val="single"/>
    </w:rPr>
  </w:style>
  <w:style w:type="character" w:styleId="Puslapionumeris">
    <w:name w:val="page number"/>
    <w:basedOn w:val="a"/>
  </w:style>
  <w:style w:type="character" w:customStyle="1" w:styleId="1">
    <w:name w:val="Заголовок 1 Знак"/>
    <w:rPr>
      <w:rFonts w:ascii="Cambria" w:hAnsi="Cambria" w:cs="Cambria"/>
      <w:b/>
      <w:bCs/>
      <w:kern w:val="2"/>
      <w:sz w:val="32"/>
      <w:szCs w:val="32"/>
      <w:lang w:eastAsia="zh-CN"/>
    </w:rPr>
  </w:style>
  <w:style w:type="character" w:customStyle="1" w:styleId="2">
    <w:name w:val="Заголовок 2 Знак"/>
    <w:rPr>
      <w:rFonts w:ascii="Cambria" w:eastAsia="Times New Roman" w:hAnsi="Cambria" w:cs="Times New Roman"/>
      <w:b/>
      <w:bCs/>
      <w:i/>
      <w:iCs/>
      <w:sz w:val="28"/>
      <w:szCs w:val="28"/>
      <w:lang w:val="lt-LT" w:eastAsia="zh-CN"/>
    </w:rPr>
  </w:style>
  <w:style w:type="character" w:customStyle="1" w:styleId="3">
    <w:name w:val="Заголовок 3 Знак"/>
    <w:rPr>
      <w:rFonts w:ascii="Cambria" w:hAnsi="Cambria" w:cs="Cambria"/>
      <w:b/>
      <w:bCs/>
      <w:sz w:val="26"/>
      <w:szCs w:val="26"/>
      <w:lang w:eastAsia="zh-CN"/>
    </w:rPr>
  </w:style>
  <w:style w:type="character" w:customStyle="1" w:styleId="4">
    <w:name w:val="Заголовок 4 Знак"/>
    <w:rPr>
      <w:rFonts w:ascii="Calibri" w:eastAsia="Times New Roman" w:hAnsi="Calibri" w:cs="Times New Roman"/>
      <w:b/>
      <w:bCs/>
      <w:sz w:val="28"/>
      <w:szCs w:val="28"/>
      <w:lang w:val="lt-LT" w:eastAsia="zh-CN"/>
    </w:rPr>
  </w:style>
  <w:style w:type="character" w:customStyle="1" w:styleId="5">
    <w:name w:val="Заголовок 5 Знак"/>
    <w:rPr>
      <w:rFonts w:ascii="Calibri" w:eastAsia="Times New Roman" w:hAnsi="Calibri" w:cs="Times New Roman"/>
      <w:b/>
      <w:bCs/>
      <w:i/>
      <w:iCs/>
      <w:sz w:val="26"/>
      <w:szCs w:val="26"/>
      <w:lang w:val="lt-LT" w:eastAsia="zh-CN"/>
    </w:rPr>
  </w:style>
  <w:style w:type="character" w:customStyle="1" w:styleId="6">
    <w:name w:val="Заголовок 6 Знак"/>
    <w:rPr>
      <w:rFonts w:ascii="Calibri" w:eastAsia="Times New Roman" w:hAnsi="Calibri" w:cs="Times New Roman"/>
      <w:b/>
      <w:bCs/>
      <w:sz w:val="22"/>
      <w:szCs w:val="22"/>
      <w:lang w:val="lt-LT" w:eastAsia="zh-CN"/>
    </w:rPr>
  </w:style>
  <w:style w:type="character" w:customStyle="1" w:styleId="7">
    <w:name w:val="Заголовок 7 Знак"/>
    <w:rPr>
      <w:rFonts w:ascii="Calibri" w:eastAsia="Times New Roman" w:hAnsi="Calibri" w:cs="Times New Roman"/>
      <w:sz w:val="24"/>
      <w:szCs w:val="24"/>
      <w:lang w:val="lt-LT" w:eastAsia="zh-CN"/>
    </w:rPr>
  </w:style>
  <w:style w:type="character" w:customStyle="1" w:styleId="8">
    <w:name w:val="Заголовок 8 Знак"/>
    <w:rPr>
      <w:rFonts w:ascii="Calibri" w:eastAsia="Times New Roman" w:hAnsi="Calibri" w:cs="Times New Roman"/>
      <w:i/>
      <w:iCs/>
      <w:sz w:val="24"/>
      <w:szCs w:val="24"/>
      <w:lang w:val="lt-LT" w:eastAsia="zh-CN"/>
    </w:rPr>
  </w:style>
  <w:style w:type="character" w:customStyle="1" w:styleId="9">
    <w:name w:val="Заголовок 9 Знак"/>
    <w:rPr>
      <w:rFonts w:ascii="Cambria" w:eastAsia="Times New Roman" w:hAnsi="Cambria" w:cs="Times New Roman"/>
      <w:sz w:val="22"/>
      <w:szCs w:val="22"/>
      <w:lang w:val="lt-LT" w:eastAsia="zh-CN"/>
    </w:rPr>
  </w:style>
  <w:style w:type="character" w:customStyle="1" w:styleId="a0">
    <w:name w:val="Текст выноски Знак"/>
    <w:rPr>
      <w:rFonts w:ascii="Tahoma" w:eastAsia="SimSun" w:hAnsi="Tahoma" w:cs="Tahoma"/>
      <w:sz w:val="16"/>
      <w:szCs w:val="16"/>
      <w:lang w:eastAsia="zh-CN"/>
    </w:rPr>
  </w:style>
  <w:style w:type="character" w:styleId="Emfaz">
    <w:name w:val="Emphasis"/>
    <w:qFormat/>
    <w:rPr>
      <w:i/>
      <w:iCs/>
    </w:rPr>
  </w:style>
  <w:style w:type="character" w:customStyle="1" w:styleId="a1">
    <w:name w:val="Название книги"/>
    <w:rPr>
      <w:b/>
      <w:bCs/>
      <w:smallCaps/>
      <w:spacing w:val="5"/>
    </w:rPr>
  </w:style>
  <w:style w:type="character" w:customStyle="1" w:styleId="a2">
    <w:name w:val="Сильное выделение"/>
    <w:rPr>
      <w:b/>
      <w:bCs/>
      <w:i/>
      <w:iCs/>
      <w:color w:val="4F81BD"/>
    </w:rPr>
  </w:style>
  <w:style w:type="paragraph" w:customStyle="1" w:styleId="a3">
    <w:name w:val="Заголовок"/>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jc w:val="center"/>
    </w:pPr>
    <w:rPr>
      <w:rFonts w:eastAsia="Times New Roman"/>
      <w:b/>
      <w:caps/>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a4">
    <w:name w:val="Указатель"/>
    <w:basedOn w:val="prastasis"/>
    <w:pPr>
      <w:suppressLineNumbers/>
    </w:pPr>
    <w:rPr>
      <w:rFonts w:cs="Arial"/>
    </w:rPr>
  </w:style>
  <w:style w:type="paragraph" w:customStyle="1" w:styleId="a5">
    <w:name w:val="Обычный (веб)"/>
    <w:basedOn w:val="prastasis"/>
    <w:pPr>
      <w:spacing w:before="280" w:after="280"/>
    </w:pPr>
    <w:rPr>
      <w:rFonts w:eastAsia="Times New Roman"/>
    </w:rPr>
  </w:style>
  <w:style w:type="paragraph" w:customStyle="1" w:styleId="10">
    <w:name w:val="1"/>
    <w:basedOn w:val="prastasis"/>
    <w:pPr>
      <w:spacing w:after="160" w:line="240" w:lineRule="exact"/>
    </w:pPr>
    <w:rPr>
      <w:rFonts w:ascii="Tahoma" w:eastAsia="Times New Roman" w:hAnsi="Tahoma" w:cs="Tahoma"/>
      <w:sz w:val="20"/>
      <w:szCs w:val="20"/>
      <w:lang w:val="en-US"/>
    </w:rPr>
  </w:style>
  <w:style w:type="paragraph" w:customStyle="1" w:styleId="a6">
    <w:name w:val="Верхний и нижний колонтитулы"/>
    <w:basedOn w:val="prastasis"/>
    <w:pPr>
      <w:suppressLineNumbers/>
      <w:tabs>
        <w:tab w:val="center" w:pos="4819"/>
        <w:tab w:val="right" w:pos="9638"/>
      </w:tabs>
    </w:pPr>
  </w:style>
  <w:style w:type="paragraph" w:styleId="Antrats">
    <w:name w:val="header"/>
    <w:basedOn w:val="prastasis"/>
    <w:pPr>
      <w:tabs>
        <w:tab w:val="center" w:pos="4819"/>
        <w:tab w:val="right" w:pos="9638"/>
      </w:tabs>
    </w:pPr>
  </w:style>
  <w:style w:type="paragraph" w:customStyle="1" w:styleId="a7">
    <w:name w:val="Текст выноски"/>
    <w:basedOn w:val="prastasis"/>
    <w:rPr>
      <w:rFonts w:ascii="Tahoma" w:hAnsi="Tahoma" w:cs="Tahoma"/>
      <w:sz w:val="16"/>
      <w:szCs w:val="16"/>
      <w:lang w:val="x-none"/>
    </w:rPr>
  </w:style>
  <w:style w:type="paragraph" w:customStyle="1" w:styleId="a8">
    <w:name w:val="Абзац списка"/>
    <w:basedOn w:val="prastasis"/>
    <w:pPr>
      <w:ind w:left="708"/>
    </w:pPr>
  </w:style>
  <w:style w:type="paragraph" w:customStyle="1" w:styleId="a9">
    <w:name w:val="Содержимое врезки"/>
    <w:basedOn w:val="prastasis"/>
  </w:style>
  <w:style w:type="paragraph" w:customStyle="1" w:styleId="Tvarkostekstas">
    <w:name w:val="Tvarkos tekstas"/>
    <w:basedOn w:val="prastasis"/>
    <w:pPr>
      <w:jc w:val="both"/>
    </w:pPr>
    <w:rPr>
      <w:lang w:eastAsia="lt-LT"/>
    </w:rPr>
  </w:style>
  <w:style w:type="paragraph" w:styleId="Porat">
    <w:name w:val="footer"/>
    <w:basedOn w:val="prastasis"/>
    <w:link w:val="PoratDiagrama"/>
    <w:uiPriority w:val="99"/>
    <w:unhideWhenUsed/>
    <w:rsid w:val="00995663"/>
    <w:pPr>
      <w:tabs>
        <w:tab w:val="center" w:pos="4819"/>
        <w:tab w:val="right" w:pos="9638"/>
      </w:tabs>
    </w:pPr>
  </w:style>
  <w:style w:type="character" w:customStyle="1" w:styleId="PoratDiagrama">
    <w:name w:val="Poraštė Diagrama"/>
    <w:link w:val="Porat"/>
    <w:uiPriority w:val="99"/>
    <w:rsid w:val="00995663"/>
    <w:rPr>
      <w:rFonts w:eastAsia="SimSun"/>
      <w:sz w:val="24"/>
      <w:szCs w:val="24"/>
      <w:lang w:eastAsia="zh-CN"/>
    </w:rPr>
  </w:style>
  <w:style w:type="paragraph" w:styleId="Sraopastraipa">
    <w:name w:val="List Paragraph"/>
    <w:basedOn w:val="prastasis"/>
    <w:uiPriority w:val="34"/>
    <w:qFormat/>
    <w:rsid w:val="006D6D4F"/>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266">
      <w:bodyDiv w:val="1"/>
      <w:marLeft w:val="0"/>
      <w:marRight w:val="0"/>
      <w:marTop w:val="0"/>
      <w:marBottom w:val="0"/>
      <w:divBdr>
        <w:top w:val="none" w:sz="0" w:space="0" w:color="auto"/>
        <w:left w:val="none" w:sz="0" w:space="0" w:color="auto"/>
        <w:bottom w:val="none" w:sz="0" w:space="0" w:color="auto"/>
        <w:right w:val="none" w:sz="0" w:space="0" w:color="auto"/>
      </w:divBdr>
    </w:div>
    <w:div w:id="405686847">
      <w:bodyDiv w:val="1"/>
      <w:marLeft w:val="0"/>
      <w:marRight w:val="0"/>
      <w:marTop w:val="0"/>
      <w:marBottom w:val="0"/>
      <w:divBdr>
        <w:top w:val="none" w:sz="0" w:space="0" w:color="auto"/>
        <w:left w:val="none" w:sz="0" w:space="0" w:color="auto"/>
        <w:bottom w:val="none" w:sz="0" w:space="0" w:color="auto"/>
        <w:right w:val="none" w:sz="0" w:space="0" w:color="auto"/>
      </w:divBdr>
      <w:divsChild>
        <w:div w:id="39173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FA23-2C1D-4B51-A797-009599F7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4559</Words>
  <Characters>2600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Arturas Pimpe</dc:creator>
  <cp:keywords/>
  <cp:lastModifiedBy>Bendras</cp:lastModifiedBy>
  <cp:revision>3</cp:revision>
  <cp:lastPrinted>1995-11-21T15:41:00Z</cp:lastPrinted>
  <dcterms:created xsi:type="dcterms:W3CDTF">2023-03-14T11:32:00Z</dcterms:created>
  <dcterms:modified xsi:type="dcterms:W3CDTF">2023-03-14T11:35:00Z</dcterms:modified>
</cp:coreProperties>
</file>